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4E" w:rsidRPr="0062674A" w:rsidRDefault="00D065C8" w:rsidP="00D065C8">
      <w:pPr>
        <w:spacing w:after="0"/>
        <w:jc w:val="center"/>
        <w:rPr>
          <w:b/>
          <w:sz w:val="48"/>
          <w:szCs w:val="48"/>
        </w:rPr>
      </w:pPr>
      <w:r w:rsidRPr="0062674A">
        <w:rPr>
          <w:b/>
          <w:sz w:val="48"/>
          <w:szCs w:val="48"/>
        </w:rPr>
        <w:t>RAVENNA TOWNSHIP CONSOLIDATED FEE SCHEDULE</w:t>
      </w:r>
      <w:bookmarkStart w:id="0" w:name="_GoBack"/>
      <w:bookmarkEnd w:id="0"/>
    </w:p>
    <w:p w:rsidR="00D065C8" w:rsidRPr="00D065C8" w:rsidRDefault="0062674A" w:rsidP="0062674A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</w:t>
      </w:r>
    </w:p>
    <w:p w:rsidR="00D065C8" w:rsidRPr="00230541" w:rsidRDefault="00D065C8" w:rsidP="00D065C8">
      <w:pPr>
        <w:spacing w:after="0"/>
        <w:jc w:val="center"/>
        <w:rPr>
          <w:b/>
          <w:sz w:val="18"/>
          <w:szCs w:val="18"/>
        </w:rPr>
      </w:pPr>
      <w:r w:rsidRPr="00230541">
        <w:rPr>
          <w:b/>
          <w:sz w:val="18"/>
          <w:szCs w:val="18"/>
        </w:rPr>
        <w:t xml:space="preserve">ANY COSTS INCURRED BY TOWNSHIP, AND OUTSIDE OF THE NORMAL OPERATIONS REQUIRED TO MEET THE GENERAL NEEDS OF </w:t>
      </w:r>
      <w:proofErr w:type="gramStart"/>
      <w:r w:rsidRPr="00230541">
        <w:rPr>
          <w:b/>
          <w:sz w:val="18"/>
          <w:szCs w:val="18"/>
        </w:rPr>
        <w:t xml:space="preserve">ALL </w:t>
      </w:r>
      <w:r w:rsidR="00230541">
        <w:rPr>
          <w:b/>
          <w:sz w:val="18"/>
          <w:szCs w:val="18"/>
        </w:rPr>
        <w:t xml:space="preserve"> </w:t>
      </w:r>
      <w:r w:rsidRPr="00230541">
        <w:rPr>
          <w:b/>
          <w:sz w:val="18"/>
          <w:szCs w:val="18"/>
        </w:rPr>
        <w:t>TOWNSHIP</w:t>
      </w:r>
      <w:proofErr w:type="gramEnd"/>
      <w:r w:rsidRPr="00230541">
        <w:rPr>
          <w:b/>
          <w:sz w:val="18"/>
          <w:szCs w:val="18"/>
        </w:rPr>
        <w:t xml:space="preserve"> RESIDENTS, THAT ARE OVER AND ABOVE THESE RATES OR</w:t>
      </w:r>
      <w:r w:rsidR="00230541" w:rsidRPr="00230541">
        <w:rPr>
          <w:b/>
          <w:sz w:val="18"/>
          <w:szCs w:val="18"/>
        </w:rPr>
        <w:t xml:space="preserve"> </w:t>
      </w:r>
      <w:r w:rsidRPr="00230541">
        <w:rPr>
          <w:b/>
          <w:sz w:val="18"/>
          <w:szCs w:val="18"/>
        </w:rPr>
        <w:t>OUTSIDE OF THESE RATES WILL BE CHARGED TO THE INVIDIVIDUAL</w:t>
      </w:r>
    </w:p>
    <w:p w:rsidR="00D065C8" w:rsidRDefault="00D065C8" w:rsidP="00D065C8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1638"/>
      </w:tblGrid>
      <w:tr w:rsidR="00D065C8" w:rsidRPr="000043B6" w:rsidTr="00D065C8">
        <w:tc>
          <w:tcPr>
            <w:tcW w:w="9378" w:type="dxa"/>
          </w:tcPr>
          <w:p w:rsidR="00D065C8" w:rsidRPr="0090434A" w:rsidRDefault="000043B6" w:rsidP="00D065C8">
            <w:pPr>
              <w:rPr>
                <w:b/>
                <w:sz w:val="24"/>
                <w:szCs w:val="24"/>
              </w:rPr>
            </w:pPr>
            <w:r w:rsidRPr="0090434A">
              <w:rPr>
                <w:b/>
                <w:sz w:val="24"/>
                <w:szCs w:val="24"/>
              </w:rPr>
              <w:t>Administrative and Miscellaneous Fees</w:t>
            </w: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0043B6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Copies (single side)</w:t>
            </w: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0043B6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8 ½” x 11”</w:t>
            </w:r>
          </w:p>
        </w:tc>
        <w:tc>
          <w:tcPr>
            <w:tcW w:w="1638" w:type="dxa"/>
          </w:tcPr>
          <w:p w:rsidR="00D065C8" w:rsidRPr="0090434A" w:rsidRDefault="000043B6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$0.25/copy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0043B6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8 ½” x 14”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$0.25/copy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b/>
                <w:sz w:val="24"/>
                <w:szCs w:val="24"/>
              </w:rPr>
            </w:pPr>
            <w:r w:rsidRPr="0090434A">
              <w:rPr>
                <w:b/>
                <w:sz w:val="24"/>
                <w:szCs w:val="24"/>
              </w:rPr>
              <w:t>Reflective Address Sign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$20.00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b/>
                <w:sz w:val="24"/>
                <w:szCs w:val="24"/>
              </w:rPr>
            </w:pPr>
            <w:r w:rsidRPr="0090434A">
              <w:rPr>
                <w:b/>
                <w:sz w:val="24"/>
                <w:szCs w:val="24"/>
              </w:rPr>
              <w:t>Cemetery</w:t>
            </w: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Grave Sales</w:t>
            </w: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Township Resident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$100.00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Non-Township Resident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$400.00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Infant &amp; Still Birth (Baby Vault)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$50.00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Cremains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$150.00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Opening and Closing of Graves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$400.00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Foundation Settings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$0.25/sq. in.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Additional Charges</w:t>
            </w: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Saturday Burials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$85.00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Sunday Burials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$100.00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 xml:space="preserve">     Holiday Burials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$150.00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b/>
                <w:sz w:val="24"/>
                <w:szCs w:val="24"/>
              </w:rPr>
            </w:pPr>
            <w:r w:rsidRPr="0090434A">
              <w:rPr>
                <w:b/>
                <w:sz w:val="24"/>
                <w:szCs w:val="24"/>
              </w:rPr>
              <w:t>Zoning and Planning Fees</w:t>
            </w: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Special Meeting of the Planning Commission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$500.00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Special Meeting of Zoning Board of Appeals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$500.00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Land Split/Division (performed by ZA and meets all zoning requirements – all others require special land use)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$50.00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83DE4" w:rsidP="00D065C8">
            <w:pPr>
              <w:rPr>
                <w:sz w:val="24"/>
                <w:szCs w:val="24"/>
              </w:rPr>
            </w:pPr>
            <w:r w:rsidRPr="0090434A">
              <w:rPr>
                <w:b/>
                <w:sz w:val="24"/>
                <w:szCs w:val="24"/>
              </w:rPr>
              <w:t xml:space="preserve">Zoning Compliance Permit Application </w:t>
            </w:r>
            <w:r w:rsidRPr="0090434A">
              <w:rPr>
                <w:sz w:val="24"/>
                <w:szCs w:val="24"/>
              </w:rPr>
              <w:t xml:space="preserve">(reviewed by ZA before </w:t>
            </w:r>
            <w:r w:rsidRPr="0090434A">
              <w:rPr>
                <w:b/>
                <w:sz w:val="24"/>
                <w:szCs w:val="24"/>
              </w:rPr>
              <w:t xml:space="preserve">ANY </w:t>
            </w:r>
            <w:r w:rsidRPr="0090434A">
              <w:rPr>
                <w:sz w:val="24"/>
                <w:szCs w:val="24"/>
              </w:rPr>
              <w:t>permits are issued)</w:t>
            </w:r>
          </w:p>
        </w:tc>
        <w:tc>
          <w:tcPr>
            <w:tcW w:w="1638" w:type="dxa"/>
          </w:tcPr>
          <w:p w:rsidR="00D065C8" w:rsidRPr="0090434A" w:rsidRDefault="00D83DE4" w:rsidP="000043B6">
            <w:pPr>
              <w:jc w:val="center"/>
              <w:rPr>
                <w:sz w:val="24"/>
                <w:szCs w:val="24"/>
              </w:rPr>
            </w:pPr>
            <w:r w:rsidRPr="0090434A">
              <w:rPr>
                <w:sz w:val="24"/>
                <w:szCs w:val="24"/>
              </w:rPr>
              <w:t>$25.00</w:t>
            </w: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  <w:tr w:rsidR="00D065C8" w:rsidRPr="000043B6" w:rsidTr="00D065C8">
        <w:tc>
          <w:tcPr>
            <w:tcW w:w="9378" w:type="dxa"/>
          </w:tcPr>
          <w:p w:rsidR="00D065C8" w:rsidRPr="0090434A" w:rsidRDefault="00D065C8" w:rsidP="00D065C8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065C8" w:rsidRPr="0090434A" w:rsidRDefault="00D065C8" w:rsidP="000043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5C8" w:rsidRPr="000043B6" w:rsidRDefault="00D065C8" w:rsidP="00D065C8">
      <w:pPr>
        <w:spacing w:after="0"/>
        <w:rPr>
          <w:sz w:val="20"/>
          <w:szCs w:val="20"/>
        </w:rPr>
      </w:pPr>
    </w:p>
    <w:sectPr w:rsidR="00D065C8" w:rsidRPr="000043B6" w:rsidSect="00D06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8"/>
    <w:rsid w:val="000043B6"/>
    <w:rsid w:val="00230541"/>
    <w:rsid w:val="002E24BF"/>
    <w:rsid w:val="0062674A"/>
    <w:rsid w:val="007E694E"/>
    <w:rsid w:val="0090434A"/>
    <w:rsid w:val="00D065C8"/>
    <w:rsid w:val="00D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2019-01-11T14:13:00Z</cp:lastPrinted>
  <dcterms:created xsi:type="dcterms:W3CDTF">2019-01-11T13:05:00Z</dcterms:created>
  <dcterms:modified xsi:type="dcterms:W3CDTF">2019-01-11T14:42:00Z</dcterms:modified>
</cp:coreProperties>
</file>